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3" w:rsidRPr="00BD7E5A" w:rsidRDefault="00C63693">
      <w:pPr>
        <w:rPr>
          <w:sz w:val="2"/>
        </w:rPr>
      </w:pPr>
    </w:p>
    <w:p w:rsidR="00C63693" w:rsidRDefault="00C63693"/>
    <w:p w:rsidR="00B73737" w:rsidRDefault="00B73737" w:rsidP="00B73737">
      <w:pPr>
        <w:ind w:firstLine="720"/>
        <w:jc w:val="center"/>
        <w:rPr>
          <w:rFonts w:ascii="Arial" w:hAnsi="Arial" w:cs="Arial"/>
          <w:b/>
          <w:lang w:val="en-IN"/>
        </w:rPr>
      </w:pPr>
    </w:p>
    <w:p w:rsidR="00B73737" w:rsidRDefault="0011191E" w:rsidP="00B73737">
      <w:pPr>
        <w:ind w:firstLine="720"/>
        <w:jc w:val="center"/>
        <w:rPr>
          <w:rFonts w:ascii="Arial" w:hAnsi="Arial" w:cs="Arial"/>
          <w:b/>
          <w:lang w:val="en-IN"/>
        </w:rPr>
      </w:pPr>
      <w:r>
        <w:rPr>
          <w:rFonts w:ascii="Arial" w:hAnsi="Arial" w:cs="Arial"/>
          <w:b/>
          <w:noProof/>
          <w:lang w:val="en-IN" w:eastAsia="en-IN"/>
        </w:rPr>
        <w:drawing>
          <wp:inline distT="0" distB="0" distL="0" distR="0">
            <wp:extent cx="1863725" cy="1596390"/>
            <wp:effectExtent l="19050" t="0" r="317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4"/>
                    <a:srcRect/>
                    <a:stretch>
                      <a:fillRect/>
                    </a:stretch>
                  </pic:blipFill>
                  <pic:spPr bwMode="auto">
                    <a:xfrm>
                      <a:off x="0" y="0"/>
                      <a:ext cx="1863725" cy="1596390"/>
                    </a:xfrm>
                    <a:prstGeom prst="rect">
                      <a:avLst/>
                    </a:prstGeom>
                    <a:noFill/>
                    <a:ln w="9525">
                      <a:noFill/>
                      <a:miter lim="800000"/>
                      <a:headEnd/>
                      <a:tailEnd/>
                    </a:ln>
                  </pic:spPr>
                </pic:pic>
              </a:graphicData>
            </a:graphic>
          </wp:inline>
        </w:drawing>
      </w:r>
    </w:p>
    <w:p w:rsidR="00B73737" w:rsidRDefault="00B73737" w:rsidP="00B73737">
      <w:pPr>
        <w:ind w:firstLine="720"/>
        <w:jc w:val="center"/>
        <w:rPr>
          <w:rFonts w:ascii="Arial" w:hAnsi="Arial" w:cs="Arial"/>
          <w:b/>
          <w:lang w:val="en-IN"/>
        </w:rPr>
      </w:pPr>
    </w:p>
    <w:p w:rsidR="00B73737" w:rsidRPr="003B05AB" w:rsidRDefault="00B73737" w:rsidP="00B73737">
      <w:pPr>
        <w:ind w:firstLine="720"/>
        <w:jc w:val="center"/>
        <w:rPr>
          <w:rFonts w:ascii="Arial" w:hAnsi="Arial" w:cs="Arial"/>
          <w:b/>
          <w:sz w:val="2"/>
          <w:lang w:val="en-IN"/>
        </w:rPr>
      </w:pPr>
    </w:p>
    <w:p w:rsidR="00B73737" w:rsidRPr="00B73737" w:rsidRDefault="003B05AB" w:rsidP="00B73737">
      <w:pPr>
        <w:spacing w:line="360" w:lineRule="auto"/>
        <w:jc w:val="center"/>
        <w:rPr>
          <w:rFonts w:ascii="Arial" w:hAnsi="Arial" w:cs="Arial"/>
          <w:b/>
          <w:sz w:val="32"/>
          <w:szCs w:val="30"/>
          <w:u w:val="single"/>
          <w:lang w:val="en-IN"/>
        </w:rPr>
      </w:pPr>
      <w:r w:rsidRPr="00B73737">
        <w:rPr>
          <w:rFonts w:ascii="Arial" w:hAnsi="Arial" w:cs="Arial"/>
          <w:b/>
          <w:sz w:val="32"/>
          <w:szCs w:val="30"/>
          <w:u w:val="single"/>
          <w:lang w:val="en-IN"/>
        </w:rPr>
        <w:t>COMMISSIONER</w:t>
      </w:r>
      <w:r>
        <w:rPr>
          <w:rFonts w:ascii="Arial" w:hAnsi="Arial" w:cs="Arial"/>
          <w:b/>
          <w:sz w:val="32"/>
          <w:szCs w:val="30"/>
          <w:u w:val="single"/>
          <w:lang w:val="en-IN"/>
        </w:rPr>
        <w:t>ATE</w:t>
      </w:r>
      <w:r w:rsidRPr="00B73737">
        <w:rPr>
          <w:rFonts w:ascii="Arial" w:hAnsi="Arial" w:cs="Arial"/>
          <w:b/>
          <w:sz w:val="32"/>
          <w:szCs w:val="30"/>
          <w:u w:val="single"/>
          <w:lang w:val="en-IN"/>
        </w:rPr>
        <w:t xml:space="preserve"> OF PROHIBITION AND EXCISE,</w:t>
      </w:r>
    </w:p>
    <w:p w:rsidR="00B73737" w:rsidRPr="00B73737" w:rsidRDefault="003B05AB" w:rsidP="00B73737">
      <w:pPr>
        <w:spacing w:line="360" w:lineRule="auto"/>
        <w:jc w:val="center"/>
        <w:rPr>
          <w:rFonts w:ascii="Arial" w:hAnsi="Arial" w:cs="Arial"/>
          <w:b/>
          <w:sz w:val="32"/>
          <w:szCs w:val="30"/>
          <w:u w:val="single"/>
          <w:lang w:val="en-IN"/>
        </w:rPr>
      </w:pPr>
      <w:r w:rsidRPr="00B73737">
        <w:rPr>
          <w:rFonts w:ascii="Arial" w:hAnsi="Arial" w:cs="Arial"/>
          <w:b/>
          <w:sz w:val="32"/>
          <w:szCs w:val="30"/>
          <w:u w:val="single"/>
          <w:lang w:val="en-IN"/>
        </w:rPr>
        <w:t>CHEPAUK, CHENNAI – 600 005</w:t>
      </w:r>
      <w:r w:rsidR="00F214DC">
        <w:rPr>
          <w:rFonts w:ascii="Arial" w:hAnsi="Arial" w:cs="Arial"/>
          <w:b/>
          <w:sz w:val="32"/>
          <w:szCs w:val="30"/>
          <w:u w:val="single"/>
          <w:lang w:val="en-IN"/>
        </w:rPr>
        <w:t>.</w:t>
      </w:r>
    </w:p>
    <w:p w:rsidR="00B73737" w:rsidRPr="00B73737" w:rsidRDefault="00B73737" w:rsidP="00B73737">
      <w:pPr>
        <w:ind w:firstLine="720"/>
        <w:jc w:val="center"/>
        <w:rPr>
          <w:rFonts w:ascii="Arial" w:hAnsi="Arial" w:cs="Arial"/>
          <w:b/>
          <w:sz w:val="6"/>
          <w:szCs w:val="30"/>
          <w:lang w:val="en-IN"/>
        </w:rPr>
      </w:pPr>
    </w:p>
    <w:p w:rsidR="00B73737" w:rsidRDefault="00B73737" w:rsidP="00B73737">
      <w:pPr>
        <w:spacing w:line="480" w:lineRule="auto"/>
        <w:ind w:firstLine="720"/>
        <w:jc w:val="center"/>
        <w:rPr>
          <w:rFonts w:ascii="Arial" w:hAnsi="Arial" w:cs="Arial"/>
          <w:b/>
          <w:sz w:val="28"/>
          <w:u w:val="single"/>
        </w:rPr>
      </w:pPr>
      <w:r w:rsidRPr="00B73737">
        <w:rPr>
          <w:rFonts w:ascii="Arial" w:hAnsi="Arial" w:cs="Arial"/>
          <w:b/>
          <w:sz w:val="28"/>
          <w:u w:val="single"/>
        </w:rPr>
        <w:t>e-Tender Notitice No. 01 / 2025 Date 08.01.2025</w:t>
      </w:r>
    </w:p>
    <w:p w:rsidR="00B73737" w:rsidRPr="00B73737" w:rsidRDefault="00B73737" w:rsidP="00B73737">
      <w:pPr>
        <w:spacing w:line="480" w:lineRule="auto"/>
        <w:ind w:firstLine="720"/>
        <w:jc w:val="center"/>
        <w:rPr>
          <w:rFonts w:ascii="Arial" w:hAnsi="Arial" w:cs="Arial"/>
          <w:b/>
          <w:u w:val="single"/>
        </w:rPr>
      </w:pPr>
      <w:r w:rsidRPr="00B73737">
        <w:rPr>
          <w:rFonts w:ascii="Arial" w:hAnsi="Arial" w:cs="Arial"/>
          <w:b/>
          <w:u w:val="single"/>
        </w:rPr>
        <w:t>e-TENDER NOTICE -  INVITING TENDER FOR PRODUCTION AND SUPPLY OF  POLYESTER BASED HOLOGRAM EXCISE LABELS ON TURN</w:t>
      </w:r>
      <w:r w:rsidR="002C0D8E">
        <w:rPr>
          <w:rFonts w:ascii="Arial" w:hAnsi="Arial" w:cs="Arial"/>
          <w:b/>
          <w:u w:val="single"/>
        </w:rPr>
        <w:t>-</w:t>
      </w:r>
      <w:r w:rsidRPr="00B73737">
        <w:rPr>
          <w:rFonts w:ascii="Arial" w:hAnsi="Arial" w:cs="Arial"/>
          <w:b/>
          <w:u w:val="single"/>
        </w:rPr>
        <w:t>KEY BASIS</w:t>
      </w:r>
      <w:r w:rsidR="003B05AB">
        <w:rPr>
          <w:rFonts w:ascii="Arial" w:hAnsi="Arial" w:cs="Arial"/>
          <w:b/>
          <w:u w:val="single"/>
        </w:rPr>
        <w:t xml:space="preserve"> </w:t>
      </w:r>
    </w:p>
    <w:p w:rsidR="00B73737" w:rsidRDefault="003B05AB" w:rsidP="003B05AB">
      <w:pPr>
        <w:spacing w:line="480" w:lineRule="auto"/>
        <w:ind w:firstLine="720"/>
        <w:jc w:val="both"/>
        <w:rPr>
          <w:rFonts w:ascii="Arial" w:hAnsi="Arial" w:cs="Arial"/>
        </w:rPr>
      </w:pPr>
      <w:r>
        <w:rPr>
          <w:rFonts w:ascii="Arial" w:hAnsi="Arial" w:cs="Arial"/>
        </w:rPr>
        <w:t xml:space="preserve">On behalf of the Government of Tamil Nadu, the Joint Commissioner – II, </w:t>
      </w:r>
      <w:r w:rsidRPr="00F32FDB">
        <w:rPr>
          <w:rFonts w:ascii="Arial" w:hAnsi="Arial" w:cs="Arial"/>
          <w:lang w:val="en-IN"/>
        </w:rPr>
        <w:t xml:space="preserve">Office of the Commissioner of Prohibition and Excise, Ezhilagam, Chepauk, </w:t>
      </w:r>
      <w:r>
        <w:rPr>
          <w:rFonts w:ascii="Arial" w:hAnsi="Arial" w:cs="Arial"/>
          <w:lang w:val="en-IN"/>
        </w:rPr>
        <w:t xml:space="preserve">Chennai – 600 005 invites e- Tender under </w:t>
      </w:r>
      <w:r w:rsidRPr="00466527">
        <w:rPr>
          <w:rFonts w:ascii="Arial" w:hAnsi="Arial" w:cs="Arial"/>
        </w:rPr>
        <w:t>the provisions of Tamil Nadu Transparency in Tenders Act, 1998 and the Tamil Nadu Tran</w:t>
      </w:r>
      <w:r>
        <w:rPr>
          <w:rFonts w:ascii="Arial" w:hAnsi="Arial" w:cs="Arial"/>
        </w:rPr>
        <w:t>sparency in Tenders Rules, 2000 in Two Bid system from the eligible manufacturers has stipulated in the tender document</w:t>
      </w:r>
      <w:r w:rsidR="007B0046">
        <w:rPr>
          <w:rFonts w:ascii="Arial" w:hAnsi="Arial" w:cs="Arial"/>
        </w:rPr>
        <w:t xml:space="preserve"> for</w:t>
      </w:r>
      <w:r>
        <w:rPr>
          <w:rFonts w:ascii="Arial" w:hAnsi="Arial" w:cs="Arial"/>
        </w:rPr>
        <w:t xml:space="preserve"> </w:t>
      </w:r>
      <w:r w:rsidRPr="00F32FDB">
        <w:rPr>
          <w:rFonts w:ascii="Arial" w:hAnsi="Arial" w:cs="Arial"/>
        </w:rPr>
        <w:t>production and supply of  Polyester Based Hologram Excise labels on Turn</w:t>
      </w:r>
      <w:r w:rsidR="001C38F2">
        <w:rPr>
          <w:rFonts w:ascii="Arial" w:hAnsi="Arial" w:cs="Arial"/>
          <w:lang w:val="en-IN"/>
        </w:rPr>
        <w:t>-</w:t>
      </w:r>
      <w:r w:rsidRPr="00F32FDB">
        <w:rPr>
          <w:rFonts w:ascii="Arial" w:hAnsi="Arial" w:cs="Arial"/>
        </w:rPr>
        <w:t>key basis</w:t>
      </w:r>
      <w:r>
        <w:rPr>
          <w:rFonts w:ascii="Arial" w:hAnsi="Arial" w:cs="Arial"/>
        </w:rPr>
        <w:t xml:space="preserve"> for the period of Three Years, as per the specifications and schedule of requirements mentioned in the tender documents, by installing all the required infrastructure in the premises designated by the Commissioner of Prohibition and Excise, Government of Tamil Nadu, Chennai. The detail tender document may be downloaded from the </w:t>
      </w:r>
      <w:r w:rsidRPr="00F32FDB">
        <w:rPr>
          <w:rFonts w:ascii="Arial" w:hAnsi="Arial" w:cs="Arial"/>
        </w:rPr>
        <w:t xml:space="preserve">Tamil Nadu Government e-Procurement website </w:t>
      </w:r>
      <w:hyperlink r:id="rId5" w:history="1">
        <w:r w:rsidRPr="00F32FDB">
          <w:rPr>
            <w:rStyle w:val="Hyperlink"/>
            <w:rFonts w:ascii="Arial" w:hAnsi="Arial" w:cs="Arial"/>
          </w:rPr>
          <w:t>https://tntenders.gov.in/nicgep/app</w:t>
        </w:r>
      </w:hyperlink>
      <w:r>
        <w:rPr>
          <w:rFonts w:ascii="Arial" w:hAnsi="Arial" w:cs="Arial"/>
        </w:rPr>
        <w:t xml:space="preserve"> for information. </w:t>
      </w:r>
    </w:p>
    <w:p w:rsidR="003B05AB" w:rsidRDefault="003B05AB" w:rsidP="003B05AB">
      <w:pPr>
        <w:spacing w:line="480" w:lineRule="auto"/>
        <w:ind w:firstLine="720"/>
        <w:jc w:val="both"/>
        <w:rPr>
          <w:rFonts w:ascii="Arial" w:hAnsi="Arial" w:cs="Arial"/>
        </w:rPr>
      </w:pPr>
    </w:p>
    <w:p w:rsidR="003B05AB" w:rsidRDefault="003B05AB" w:rsidP="003B05AB">
      <w:pPr>
        <w:spacing w:line="480" w:lineRule="auto"/>
        <w:ind w:firstLine="720"/>
        <w:jc w:val="both"/>
        <w:rPr>
          <w:rFonts w:ascii="Arial" w:hAnsi="Arial" w:cs="Arial"/>
        </w:rPr>
      </w:pPr>
    </w:p>
    <w:p w:rsidR="001F1760" w:rsidRDefault="001F1760" w:rsidP="003B05AB">
      <w:pPr>
        <w:spacing w:line="360" w:lineRule="auto"/>
        <w:jc w:val="center"/>
        <w:rPr>
          <w:rFonts w:ascii="Arial" w:hAnsi="Arial" w:cs="Arial"/>
          <w:b/>
          <w:u w:val="single"/>
          <w:lang w:val="en-IN"/>
        </w:rPr>
      </w:pPr>
    </w:p>
    <w:p w:rsidR="001F1760" w:rsidRDefault="001F1760" w:rsidP="003B05AB">
      <w:pPr>
        <w:spacing w:line="360" w:lineRule="auto"/>
        <w:jc w:val="center"/>
        <w:rPr>
          <w:rFonts w:ascii="Arial" w:hAnsi="Arial" w:cs="Arial"/>
          <w:b/>
          <w:u w:val="single"/>
          <w:lang w:val="en-IN"/>
        </w:rPr>
      </w:pPr>
    </w:p>
    <w:p w:rsidR="003B05AB" w:rsidRDefault="003B05AB" w:rsidP="003B05AB">
      <w:pPr>
        <w:spacing w:line="360" w:lineRule="auto"/>
        <w:jc w:val="center"/>
        <w:rPr>
          <w:rFonts w:ascii="Arial" w:hAnsi="Arial" w:cs="Arial"/>
          <w:b/>
          <w:u w:val="single"/>
          <w:lang w:val="en-IN"/>
        </w:rPr>
      </w:pPr>
      <w:r>
        <w:rPr>
          <w:rFonts w:ascii="Arial" w:hAnsi="Arial" w:cs="Arial"/>
          <w:b/>
          <w:u w:val="single"/>
          <w:lang w:val="en-IN"/>
        </w:rPr>
        <w:t>INDIAN TRADE JOURNAL</w:t>
      </w:r>
    </w:p>
    <w:p w:rsidR="003B05AB" w:rsidRDefault="003B05AB" w:rsidP="003B05AB">
      <w:pPr>
        <w:spacing w:line="360" w:lineRule="auto"/>
        <w:rPr>
          <w:rFonts w:ascii="Arial" w:hAnsi="Arial" w:cs="Arial"/>
          <w:b/>
          <w:u w:val="single"/>
          <w:lang w:val="en-IN"/>
        </w:rPr>
      </w:pPr>
      <w:r>
        <w:rPr>
          <w:rFonts w:ascii="Arial" w:hAnsi="Arial" w:cs="Arial"/>
          <w:b/>
          <w:u w:val="single"/>
          <w:lang w:val="en-IN"/>
        </w:rPr>
        <w:t>DETAILS OF E-TENDER NOTIFICATION NO.01/2025</w:t>
      </w:r>
    </w:p>
    <w:p w:rsidR="003B05AB" w:rsidRPr="003B05AB" w:rsidRDefault="003B05AB" w:rsidP="003B05AB">
      <w:pPr>
        <w:jc w:val="center"/>
        <w:rPr>
          <w:rFonts w:ascii="Arial" w:hAnsi="Arial" w:cs="Arial"/>
          <w:b/>
          <w:sz w:val="10"/>
          <w:u w:val="single"/>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4050"/>
        <w:gridCol w:w="4968"/>
      </w:tblGrid>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1.</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Tender Inviting Officer, Authority :</w:t>
            </w:r>
          </w:p>
        </w:tc>
        <w:tc>
          <w:tcPr>
            <w:tcW w:w="4968" w:type="dxa"/>
          </w:tcPr>
          <w:p w:rsidR="003B05AB" w:rsidRPr="00F32FDB" w:rsidRDefault="003B05AB" w:rsidP="00F214DC">
            <w:pPr>
              <w:spacing w:line="360" w:lineRule="auto"/>
              <w:jc w:val="both"/>
              <w:rPr>
                <w:rFonts w:ascii="Arial" w:hAnsi="Arial" w:cs="Arial"/>
                <w:lang w:val="en-IN"/>
              </w:rPr>
            </w:pPr>
            <w:r w:rsidRPr="00F32FDB">
              <w:rPr>
                <w:rFonts w:ascii="Arial" w:hAnsi="Arial" w:cs="Arial"/>
                <w:lang w:val="en-IN"/>
              </w:rPr>
              <w:t>Joint Commissioner – II</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Designation , Address :</w:t>
            </w:r>
          </w:p>
        </w:tc>
        <w:tc>
          <w:tcPr>
            <w:tcW w:w="4968" w:type="dxa"/>
          </w:tcPr>
          <w:p w:rsidR="003B05AB" w:rsidRPr="00F32FDB" w:rsidRDefault="003B05AB" w:rsidP="00F214DC">
            <w:pPr>
              <w:spacing w:line="360" w:lineRule="auto"/>
              <w:jc w:val="both"/>
              <w:rPr>
                <w:rFonts w:ascii="Arial" w:hAnsi="Arial" w:cs="Arial"/>
                <w:lang w:val="en-IN"/>
              </w:rPr>
            </w:pPr>
            <w:r w:rsidRPr="00F32FDB">
              <w:rPr>
                <w:rFonts w:ascii="Arial" w:hAnsi="Arial" w:cs="Arial"/>
                <w:lang w:val="en-IN"/>
              </w:rPr>
              <w:t xml:space="preserve">Office of the Commissioner of Prohibition and Excise, Ezhilagam, Chepauk, </w:t>
            </w:r>
          </w:p>
          <w:p w:rsidR="003B05AB" w:rsidRPr="00F32FDB" w:rsidRDefault="003B05AB" w:rsidP="00F214DC">
            <w:pPr>
              <w:spacing w:line="360" w:lineRule="auto"/>
              <w:jc w:val="both"/>
              <w:rPr>
                <w:rFonts w:ascii="Arial" w:hAnsi="Arial" w:cs="Arial"/>
                <w:lang w:val="en-IN"/>
              </w:rPr>
            </w:pPr>
            <w:r w:rsidRPr="00F32FDB">
              <w:rPr>
                <w:rFonts w:ascii="Arial" w:hAnsi="Arial" w:cs="Arial"/>
                <w:lang w:val="en-IN"/>
              </w:rPr>
              <w:t>Chennai – 600 005.</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2.</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a. Name of the work</w:t>
            </w:r>
          </w:p>
        </w:tc>
        <w:tc>
          <w:tcPr>
            <w:tcW w:w="4968" w:type="dxa"/>
          </w:tcPr>
          <w:p w:rsidR="003B05AB" w:rsidRPr="00F32FDB" w:rsidRDefault="003B05AB" w:rsidP="00F214DC">
            <w:pPr>
              <w:spacing w:line="360" w:lineRule="auto"/>
              <w:jc w:val="both"/>
              <w:rPr>
                <w:rFonts w:ascii="Arial" w:hAnsi="Arial" w:cs="Arial"/>
                <w:lang w:val="en-IN"/>
              </w:rPr>
            </w:pPr>
            <w:r w:rsidRPr="00F32FDB">
              <w:rPr>
                <w:rFonts w:ascii="Arial" w:hAnsi="Arial" w:cs="Arial"/>
              </w:rPr>
              <w:t>Tender for production and supply of  Polyester Based Hologram Excise labels on Turn</w:t>
            </w:r>
            <w:r w:rsidR="001C38F2">
              <w:rPr>
                <w:rFonts w:ascii="Arial" w:hAnsi="Arial" w:cs="Arial"/>
              </w:rPr>
              <w:t>-</w:t>
            </w:r>
            <w:r w:rsidRPr="00F32FDB">
              <w:rPr>
                <w:rFonts w:ascii="Arial" w:hAnsi="Arial" w:cs="Arial"/>
              </w:rPr>
              <w:t>key basis</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b. Place of Execution :</w:t>
            </w:r>
          </w:p>
        </w:tc>
        <w:tc>
          <w:tcPr>
            <w:tcW w:w="4968" w:type="dxa"/>
          </w:tcPr>
          <w:p w:rsidR="003B05AB" w:rsidRPr="00F32FDB" w:rsidRDefault="003B05AB" w:rsidP="00F214DC">
            <w:pPr>
              <w:spacing w:line="360" w:lineRule="auto"/>
              <w:jc w:val="both"/>
              <w:rPr>
                <w:rFonts w:ascii="Arial" w:hAnsi="Arial" w:cs="Arial"/>
                <w:lang w:val="en-IN"/>
              </w:rPr>
            </w:pPr>
            <w:r w:rsidRPr="00F32FDB">
              <w:rPr>
                <w:rFonts w:ascii="Arial" w:hAnsi="Arial" w:cs="Arial"/>
                <w:lang w:val="en-IN"/>
              </w:rPr>
              <w:t>Commissionerate of Prohibition and Excise, Ezhilagam, Chepauk, Chennai – 600 005.</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3.</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Tender Documents available place, cost and due date for obtaining tender</w:t>
            </w:r>
          </w:p>
        </w:tc>
        <w:tc>
          <w:tcPr>
            <w:tcW w:w="4968" w:type="dxa"/>
          </w:tcPr>
          <w:p w:rsidR="003B05AB" w:rsidRPr="00F32FDB" w:rsidRDefault="003B05AB" w:rsidP="00F214DC">
            <w:pPr>
              <w:spacing w:line="360" w:lineRule="auto"/>
              <w:jc w:val="both"/>
              <w:rPr>
                <w:rFonts w:ascii="Arial" w:hAnsi="Arial" w:cs="Arial"/>
              </w:rPr>
            </w:pPr>
            <w:r w:rsidRPr="00F32FDB">
              <w:rPr>
                <w:rFonts w:ascii="Arial" w:hAnsi="Arial" w:cs="Arial"/>
              </w:rPr>
              <w:t>The e-Tender document can be viewed and downloaded from 10.01.2025 (11.00 A.M</w:t>
            </w:r>
            <w:r w:rsidR="007B0046">
              <w:rPr>
                <w:rFonts w:ascii="Arial" w:hAnsi="Arial" w:cs="Arial"/>
              </w:rPr>
              <w:t xml:space="preserve"> onwards</w:t>
            </w:r>
            <w:r w:rsidRPr="00F32FDB">
              <w:rPr>
                <w:rFonts w:ascii="Arial" w:hAnsi="Arial" w:cs="Arial"/>
              </w:rPr>
              <w:t xml:space="preserve">) to 08.02.2025 (upto 03.00 P.M) from Tamil Nadu Government e-Procurement website </w:t>
            </w:r>
            <w:hyperlink r:id="rId6" w:history="1">
              <w:r w:rsidRPr="00F32FDB">
                <w:rPr>
                  <w:rStyle w:val="Hyperlink"/>
                  <w:rFonts w:ascii="Arial" w:hAnsi="Arial" w:cs="Arial"/>
                </w:rPr>
                <w:t>https://tntenders.gov.in/nicgep/app</w:t>
              </w:r>
            </w:hyperlink>
            <w:r w:rsidRPr="00F32FDB">
              <w:rPr>
                <w:rFonts w:ascii="Arial" w:hAnsi="Arial" w:cs="Arial"/>
              </w:rPr>
              <w:t xml:space="preserve"> at free of cost. </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4.</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Earnest Money Deposit amount</w:t>
            </w:r>
          </w:p>
        </w:tc>
        <w:tc>
          <w:tcPr>
            <w:tcW w:w="4968"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Rs.75,00,000/-</w:t>
            </w:r>
            <w:r w:rsidR="002C0D8E">
              <w:rPr>
                <w:rFonts w:ascii="Arial" w:hAnsi="Arial" w:cs="Arial"/>
                <w:lang w:val="en-IN"/>
              </w:rPr>
              <w:t xml:space="preserve"> </w:t>
            </w:r>
            <w:r w:rsidR="002C0D8E" w:rsidRPr="00466527">
              <w:rPr>
                <w:rFonts w:ascii="Arial" w:hAnsi="Arial" w:cs="Arial"/>
              </w:rPr>
              <w:t>(Rupees Seventy Five Lakhs Only)</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5.</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 xml:space="preserve">Due date, Time and place for the submission of tender  </w:t>
            </w:r>
          </w:p>
        </w:tc>
        <w:tc>
          <w:tcPr>
            <w:tcW w:w="4968" w:type="dxa"/>
          </w:tcPr>
          <w:p w:rsidR="003B05AB" w:rsidRPr="00F32FDB" w:rsidRDefault="003B05AB" w:rsidP="00F214DC">
            <w:pPr>
              <w:spacing w:line="360" w:lineRule="auto"/>
              <w:jc w:val="both"/>
              <w:rPr>
                <w:rFonts w:ascii="Arial" w:hAnsi="Arial" w:cs="Arial"/>
                <w:lang w:val="en-IN"/>
              </w:rPr>
            </w:pPr>
            <w:r w:rsidRPr="00F32FDB">
              <w:rPr>
                <w:rFonts w:ascii="Arial" w:hAnsi="Arial" w:cs="Arial"/>
              </w:rPr>
              <w:t xml:space="preserve">08.02.2025 (upto 03.00 P.M) through Tamil Nadu Government e-Procurement website </w:t>
            </w:r>
            <w:hyperlink r:id="rId7" w:history="1">
              <w:r w:rsidRPr="00F32FDB">
                <w:rPr>
                  <w:rStyle w:val="Hyperlink"/>
                  <w:rFonts w:ascii="Arial" w:hAnsi="Arial" w:cs="Arial"/>
                </w:rPr>
                <w:t>https://tntenders.gov.in/nicgep/app</w:t>
              </w:r>
            </w:hyperlink>
            <w:r w:rsidRPr="00F32FDB">
              <w:rPr>
                <w:rFonts w:ascii="Arial" w:hAnsi="Arial" w:cs="Arial"/>
              </w:rPr>
              <w:t xml:space="preserve"> </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6.</w:t>
            </w:r>
          </w:p>
        </w:tc>
        <w:tc>
          <w:tcPr>
            <w:tcW w:w="4050" w:type="dxa"/>
          </w:tcPr>
          <w:p w:rsidR="003B05AB" w:rsidRPr="00F32FDB" w:rsidRDefault="003B05AB" w:rsidP="00F214DC">
            <w:pPr>
              <w:spacing w:line="360" w:lineRule="auto"/>
              <w:rPr>
                <w:rFonts w:ascii="Arial" w:hAnsi="Arial" w:cs="Arial"/>
                <w:lang w:val="en-IN"/>
              </w:rPr>
            </w:pPr>
            <w:r w:rsidRPr="00F32FDB">
              <w:rPr>
                <w:rFonts w:ascii="Arial" w:hAnsi="Arial" w:cs="Arial"/>
                <w:lang w:val="en-IN"/>
              </w:rPr>
              <w:t>Place, date &amp; Time of Tender Opening</w:t>
            </w:r>
            <w:r>
              <w:rPr>
                <w:rFonts w:ascii="Arial" w:hAnsi="Arial" w:cs="Arial"/>
                <w:lang w:val="en-IN"/>
              </w:rPr>
              <w:t xml:space="preserve">  and Technical Evalution</w:t>
            </w:r>
          </w:p>
        </w:tc>
        <w:tc>
          <w:tcPr>
            <w:tcW w:w="4968" w:type="dxa"/>
          </w:tcPr>
          <w:p w:rsidR="003B05AB" w:rsidRPr="00F32FDB" w:rsidRDefault="003B05AB" w:rsidP="00F214DC">
            <w:pPr>
              <w:spacing w:line="360" w:lineRule="auto"/>
              <w:jc w:val="both"/>
              <w:rPr>
                <w:rFonts w:ascii="Arial" w:hAnsi="Arial" w:cs="Arial"/>
              </w:rPr>
            </w:pPr>
            <w:r w:rsidRPr="00F32FDB">
              <w:rPr>
                <w:rFonts w:ascii="Arial" w:hAnsi="Arial" w:cs="Arial"/>
              </w:rPr>
              <w:t xml:space="preserve">10.02.2025 at 11.00 A.M, </w:t>
            </w:r>
          </w:p>
          <w:p w:rsidR="003B05AB" w:rsidRPr="00F32FDB" w:rsidRDefault="003B05AB" w:rsidP="00F214DC">
            <w:pPr>
              <w:spacing w:line="360" w:lineRule="auto"/>
              <w:jc w:val="both"/>
              <w:rPr>
                <w:rFonts w:ascii="Arial" w:hAnsi="Arial" w:cs="Arial"/>
                <w:lang w:val="en-IN"/>
              </w:rPr>
            </w:pPr>
            <w:r w:rsidRPr="00F32FDB">
              <w:rPr>
                <w:rFonts w:ascii="Arial" w:hAnsi="Arial" w:cs="Arial"/>
                <w:lang w:val="en-IN"/>
              </w:rPr>
              <w:t>Commissionerate of Prohibition and Excise, Ezhilagam, Chepauk, Chennai – 600 005.</w:t>
            </w:r>
          </w:p>
        </w:tc>
      </w:tr>
      <w:tr w:rsidR="003B05AB" w:rsidRPr="00F32FDB" w:rsidTr="00F214DC">
        <w:tc>
          <w:tcPr>
            <w:tcW w:w="558" w:type="dxa"/>
          </w:tcPr>
          <w:p w:rsidR="003B05AB" w:rsidRPr="00F32FDB" w:rsidRDefault="003B05AB" w:rsidP="00F214DC">
            <w:pPr>
              <w:spacing w:line="360" w:lineRule="auto"/>
              <w:jc w:val="center"/>
              <w:rPr>
                <w:rFonts w:ascii="Arial" w:hAnsi="Arial" w:cs="Arial"/>
                <w:lang w:val="en-IN"/>
              </w:rPr>
            </w:pPr>
            <w:r w:rsidRPr="00F32FDB">
              <w:rPr>
                <w:rFonts w:ascii="Arial" w:hAnsi="Arial" w:cs="Arial"/>
                <w:lang w:val="en-IN"/>
              </w:rPr>
              <w:t>7.</w:t>
            </w:r>
          </w:p>
        </w:tc>
        <w:tc>
          <w:tcPr>
            <w:tcW w:w="4050" w:type="dxa"/>
          </w:tcPr>
          <w:p w:rsidR="003B05AB" w:rsidRPr="00F32FDB" w:rsidRDefault="003B05AB" w:rsidP="001F1760">
            <w:pPr>
              <w:rPr>
                <w:rFonts w:ascii="Arial" w:hAnsi="Arial" w:cs="Arial"/>
                <w:lang w:val="en-IN"/>
              </w:rPr>
            </w:pPr>
            <w:r w:rsidRPr="00F32FDB">
              <w:rPr>
                <w:rFonts w:ascii="Arial" w:hAnsi="Arial" w:cs="Arial"/>
                <w:lang w:val="en-IN"/>
              </w:rPr>
              <w:t>Any other important criteria prescribed by the Tender Inviting Authority</w:t>
            </w:r>
          </w:p>
        </w:tc>
        <w:tc>
          <w:tcPr>
            <w:tcW w:w="4968" w:type="dxa"/>
          </w:tcPr>
          <w:p w:rsidR="003B05AB" w:rsidRPr="00F32FDB" w:rsidRDefault="003B05AB" w:rsidP="00F214DC">
            <w:pPr>
              <w:spacing w:line="360" w:lineRule="auto"/>
              <w:jc w:val="both"/>
              <w:rPr>
                <w:rFonts w:ascii="Arial" w:hAnsi="Arial" w:cs="Arial"/>
              </w:rPr>
            </w:pPr>
            <w:r w:rsidRPr="00F32FDB">
              <w:rPr>
                <w:rFonts w:ascii="Arial" w:hAnsi="Arial" w:cs="Arial"/>
              </w:rPr>
              <w:t>As per the Tender Document</w:t>
            </w:r>
          </w:p>
        </w:tc>
      </w:tr>
    </w:tbl>
    <w:p w:rsidR="003B05AB" w:rsidRPr="00DD12AC" w:rsidRDefault="003B05AB" w:rsidP="003B05AB">
      <w:pPr>
        <w:jc w:val="center"/>
        <w:rPr>
          <w:rFonts w:ascii="Arial" w:hAnsi="Arial" w:cs="Arial"/>
          <w:b/>
          <w:sz w:val="4"/>
          <w:u w:val="single"/>
          <w:lang w:val="en-IN"/>
        </w:rPr>
      </w:pPr>
    </w:p>
    <w:p w:rsidR="003B05AB" w:rsidRDefault="003B05AB" w:rsidP="003B05AB">
      <w:pPr>
        <w:jc w:val="center"/>
        <w:rPr>
          <w:rFonts w:ascii="Arial" w:hAnsi="Arial" w:cs="Arial"/>
          <w:b/>
          <w:u w:val="single"/>
          <w:lang w:val="en-IN"/>
        </w:rPr>
      </w:pPr>
    </w:p>
    <w:p w:rsidR="001F1760" w:rsidRPr="00D64BCF" w:rsidRDefault="00D64BCF" w:rsidP="00D64BCF">
      <w:pPr>
        <w:ind w:left="4320" w:firstLine="720"/>
        <w:jc w:val="center"/>
        <w:rPr>
          <w:rFonts w:ascii="Arial" w:hAnsi="Arial" w:cs="Arial"/>
          <w:lang w:val="en-IN"/>
        </w:rPr>
      </w:pPr>
      <w:r>
        <w:rPr>
          <w:rFonts w:ascii="Arial" w:hAnsi="Arial" w:cs="Arial"/>
          <w:lang w:val="en-IN"/>
        </w:rPr>
        <w:t>Sd/-S.P.Karthikaa,</w:t>
      </w:r>
    </w:p>
    <w:p w:rsidR="003B05AB" w:rsidRDefault="003B05AB" w:rsidP="00D64BCF">
      <w:pPr>
        <w:jc w:val="right"/>
        <w:rPr>
          <w:rFonts w:ascii="Arial" w:hAnsi="Arial" w:cs="Arial"/>
          <w:b/>
          <w:lang w:val="en-IN"/>
        </w:rPr>
      </w:pPr>
      <w:r w:rsidRPr="00D6226B">
        <w:rPr>
          <w:rFonts w:ascii="Arial" w:hAnsi="Arial" w:cs="Arial"/>
          <w:b/>
          <w:lang w:val="en-IN"/>
        </w:rPr>
        <w:t>Commissioner of Prohibition and Excise</w:t>
      </w:r>
      <w:r>
        <w:rPr>
          <w:rFonts w:ascii="Arial" w:hAnsi="Arial" w:cs="Arial"/>
          <w:b/>
          <w:lang w:val="en-IN"/>
        </w:rPr>
        <w:t>,</w:t>
      </w:r>
    </w:p>
    <w:p w:rsidR="003B05AB" w:rsidRPr="00D6226B" w:rsidRDefault="003B05AB" w:rsidP="00D64BCF">
      <w:pPr>
        <w:jc w:val="center"/>
        <w:rPr>
          <w:rFonts w:ascii="Arial" w:hAnsi="Arial" w:cs="Arial"/>
          <w:b/>
          <w:lang w:val="en-IN"/>
        </w:rPr>
      </w:pPr>
      <w:r>
        <w:rPr>
          <w:rFonts w:ascii="Arial" w:hAnsi="Arial" w:cs="Arial"/>
          <w:b/>
          <w:lang w:val="en-IN"/>
        </w:rPr>
        <w:t xml:space="preserve">                                                                        Chepauk, Chennai – 5.</w:t>
      </w:r>
    </w:p>
    <w:sectPr w:rsidR="003B05AB" w:rsidRPr="00D6226B" w:rsidSect="00BD7E5A">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compat/>
  <w:rsids>
    <w:rsidRoot w:val="00466527"/>
    <w:rsid w:val="0001778D"/>
    <w:rsid w:val="0006723D"/>
    <w:rsid w:val="00097DF0"/>
    <w:rsid w:val="000B6683"/>
    <w:rsid w:val="000C62C2"/>
    <w:rsid w:val="00101BCB"/>
    <w:rsid w:val="0011191E"/>
    <w:rsid w:val="00143C2E"/>
    <w:rsid w:val="001C38F2"/>
    <w:rsid w:val="001F1760"/>
    <w:rsid w:val="00222588"/>
    <w:rsid w:val="00230EB7"/>
    <w:rsid w:val="00272645"/>
    <w:rsid w:val="00274ED0"/>
    <w:rsid w:val="002C0D8E"/>
    <w:rsid w:val="002F6A18"/>
    <w:rsid w:val="003013BB"/>
    <w:rsid w:val="003B05AB"/>
    <w:rsid w:val="003C5F45"/>
    <w:rsid w:val="003F07BB"/>
    <w:rsid w:val="00466527"/>
    <w:rsid w:val="004A09DA"/>
    <w:rsid w:val="005175AB"/>
    <w:rsid w:val="00551B48"/>
    <w:rsid w:val="0057657E"/>
    <w:rsid w:val="00587D31"/>
    <w:rsid w:val="00654A20"/>
    <w:rsid w:val="00701FE7"/>
    <w:rsid w:val="007A6D6F"/>
    <w:rsid w:val="007B0046"/>
    <w:rsid w:val="007D07B3"/>
    <w:rsid w:val="00863037"/>
    <w:rsid w:val="00877B04"/>
    <w:rsid w:val="00945496"/>
    <w:rsid w:val="00964E79"/>
    <w:rsid w:val="00991D48"/>
    <w:rsid w:val="009C72EB"/>
    <w:rsid w:val="00A77747"/>
    <w:rsid w:val="00B65A84"/>
    <w:rsid w:val="00B7056F"/>
    <w:rsid w:val="00B73737"/>
    <w:rsid w:val="00B76B67"/>
    <w:rsid w:val="00BA28D0"/>
    <w:rsid w:val="00BD7E5A"/>
    <w:rsid w:val="00BF1903"/>
    <w:rsid w:val="00C52DA6"/>
    <w:rsid w:val="00C63693"/>
    <w:rsid w:val="00CF745A"/>
    <w:rsid w:val="00D176D5"/>
    <w:rsid w:val="00D23B94"/>
    <w:rsid w:val="00D51C0B"/>
    <w:rsid w:val="00D6226B"/>
    <w:rsid w:val="00D64BCF"/>
    <w:rsid w:val="00D9536C"/>
    <w:rsid w:val="00DB6AD4"/>
    <w:rsid w:val="00DD12AC"/>
    <w:rsid w:val="00DE67C4"/>
    <w:rsid w:val="00E002F6"/>
    <w:rsid w:val="00E134DB"/>
    <w:rsid w:val="00E30ABE"/>
    <w:rsid w:val="00E83731"/>
    <w:rsid w:val="00EA136C"/>
    <w:rsid w:val="00F214DC"/>
    <w:rsid w:val="00F32FDB"/>
    <w:rsid w:val="00F641FC"/>
    <w:rsid w:val="00FE1D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2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6527"/>
    <w:rPr>
      <w:color w:val="0000FF"/>
      <w:u w:val="single"/>
    </w:rPr>
  </w:style>
  <w:style w:type="table" w:styleId="TableGrid">
    <w:name w:val="Table Grid"/>
    <w:basedOn w:val="TableNormal"/>
    <w:uiPriority w:val="59"/>
    <w:rsid w:val="00466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6527"/>
    <w:pPr>
      <w:tabs>
        <w:tab w:val="center" w:pos="4680"/>
        <w:tab w:val="right" w:pos="9360"/>
      </w:tabs>
    </w:pPr>
    <w:rPr>
      <w:lang/>
    </w:rPr>
  </w:style>
  <w:style w:type="character" w:customStyle="1" w:styleId="HeaderChar">
    <w:name w:val="Header Char"/>
    <w:link w:val="Header"/>
    <w:uiPriority w:val="99"/>
    <w:semiHidden/>
    <w:rsid w:val="004665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9DA"/>
    <w:rPr>
      <w:rFonts w:ascii="Tahoma" w:hAnsi="Tahoma"/>
      <w:sz w:val="16"/>
      <w:szCs w:val="16"/>
    </w:rPr>
  </w:style>
  <w:style w:type="character" w:customStyle="1" w:styleId="BalloonTextChar">
    <w:name w:val="Balloon Text Char"/>
    <w:link w:val="BalloonText"/>
    <w:uiPriority w:val="99"/>
    <w:semiHidden/>
    <w:rsid w:val="004A09DA"/>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ntenders.gov.in/nicgep/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ntenders.gov.in/nicgep/app" TargetMode="External"/><Relationship Id="rId5" Type="http://schemas.openxmlformats.org/officeDocument/2006/relationships/hyperlink" Target="https://tntenders.gov.in/nicgep/ap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Links>
    <vt:vector size="18" baseType="variant">
      <vt:variant>
        <vt:i4>3801200</vt:i4>
      </vt:variant>
      <vt:variant>
        <vt:i4>6</vt:i4>
      </vt:variant>
      <vt:variant>
        <vt:i4>0</vt:i4>
      </vt:variant>
      <vt:variant>
        <vt:i4>5</vt:i4>
      </vt:variant>
      <vt:variant>
        <vt:lpwstr>https://tntenders.gov.in/nicgep/app</vt:lpwstr>
      </vt:variant>
      <vt:variant>
        <vt:lpwstr/>
      </vt:variant>
      <vt:variant>
        <vt:i4>3801200</vt:i4>
      </vt:variant>
      <vt:variant>
        <vt:i4>3</vt:i4>
      </vt:variant>
      <vt:variant>
        <vt:i4>0</vt:i4>
      </vt:variant>
      <vt:variant>
        <vt:i4>5</vt:i4>
      </vt:variant>
      <vt:variant>
        <vt:lpwstr>https://tntenders.gov.in/nicgep/app</vt:lpwstr>
      </vt:variant>
      <vt:variant>
        <vt:lpwstr/>
      </vt:variant>
      <vt:variant>
        <vt:i4>3801200</vt:i4>
      </vt:variant>
      <vt:variant>
        <vt:i4>0</vt:i4>
      </vt:variant>
      <vt:variant>
        <vt:i4>0</vt:i4>
      </vt:variant>
      <vt:variant>
        <vt:i4>5</vt:i4>
      </vt:variant>
      <vt:variant>
        <vt:lpwstr>https://tntenders.gov.in/nicgep/app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debabrata.goswami</cp:lastModifiedBy>
  <cp:revision>2</cp:revision>
  <cp:lastPrinted>2025-01-06T13:57:00Z</cp:lastPrinted>
  <dcterms:created xsi:type="dcterms:W3CDTF">2025-01-08T10:47:00Z</dcterms:created>
  <dcterms:modified xsi:type="dcterms:W3CDTF">2025-01-08T10:47:00Z</dcterms:modified>
</cp:coreProperties>
</file>