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A8732A">
        <w:trPr>
          <w:trHeight w:val="795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bidi="ar-SA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A8732A" w:rsidRDefault="00D94535" w:rsidP="00027E7C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027E7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27E7C" w:rsidRPr="00027E7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Selection of Technical Service Provider (TSP) for</w:t>
            </w:r>
            <w:r w:rsidR="00027E7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27E7C" w:rsidRPr="00027E7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Onboarding NICL as Financial Information User (FIU) and Financial Information Provider (FIP) on Account Aggregator Platform</w:t>
            </w:r>
            <w:r w:rsidR="00027E7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and </w:t>
            </w:r>
            <w:r w:rsidR="00027E7C" w:rsidRPr="00027E7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Implementation, Customization, Integration and Maintenance of Account Aggregator (AA) Solution</w:t>
            </w:r>
          </w:p>
          <w:p w:rsidR="00B46A3C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Default="000E0948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3449D5" w:rsidRPr="007C1A3B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https://nationalinsurance.nic.co.in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>
              <w:t xml:space="preserve"> </w:t>
            </w:r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https://eprocure.gov.in</w:t>
            </w:r>
            <w:r w:rsidR="00A0020D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and </w:t>
            </w:r>
            <w:hyperlink r:id="rId6" w:history="1">
              <w:r w:rsidR="00240555" w:rsidRPr="00240555">
                <w:rPr>
                  <w:rStyle w:val="Hyperlink"/>
                  <w:rFonts w:ascii="Verdana" w:hAnsi="Verdana"/>
                  <w:sz w:val="16"/>
                  <w:szCs w:val="16"/>
                </w:rPr>
                <w:t>https://nicl.ewizard.in</w:t>
              </w:r>
            </w:hyperlink>
            <w:r w:rsidR="00240555">
              <w:t xml:space="preserve"> </w:t>
            </w:r>
            <w:proofErr w:type="gramStart"/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F67B80">
              <w:t xml:space="preserve"> </w:t>
            </w:r>
            <w:r w:rsidR="00027E7C">
              <w:rPr>
                <w:b/>
              </w:rPr>
              <w:t>2</w:t>
            </w:r>
            <w:r w:rsidR="00027E7C">
              <w:rPr>
                <w:b/>
                <w:vertAlign w:val="superscript"/>
              </w:rPr>
              <w:t>nd</w:t>
            </w:r>
            <w:r w:rsidR="00DD22F8">
              <w:rPr>
                <w:b/>
              </w:rPr>
              <w:t xml:space="preserve"> </w:t>
            </w:r>
            <w:r w:rsidR="00027E7C">
              <w:rPr>
                <w:b/>
              </w:rPr>
              <w:t>June</w:t>
            </w:r>
            <w:r w:rsidR="00F67B80" w:rsidRPr="00F67B80">
              <w:rPr>
                <w:b/>
              </w:rPr>
              <w:t xml:space="preserve"> 2023 to </w:t>
            </w:r>
            <w:r w:rsidR="00027E7C">
              <w:rPr>
                <w:b/>
              </w:rPr>
              <w:t>30</w:t>
            </w:r>
            <w:r w:rsidR="00B753FE" w:rsidRPr="00B753FE">
              <w:rPr>
                <w:b/>
                <w:vertAlign w:val="superscript"/>
              </w:rPr>
              <w:t>th</w:t>
            </w:r>
            <w:r w:rsidR="00B753FE">
              <w:rPr>
                <w:b/>
              </w:rPr>
              <w:t xml:space="preserve"> </w:t>
            </w:r>
            <w:r w:rsidR="00240555">
              <w:rPr>
                <w:b/>
              </w:rPr>
              <w:t>June</w:t>
            </w:r>
            <w:r w:rsidR="00F67B80" w:rsidRPr="00F67B80">
              <w:rPr>
                <w:b/>
              </w:rPr>
              <w:t xml:space="preserve"> 2023</w:t>
            </w:r>
            <w:r w:rsidR="00F67B8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027E7C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40555">
              <w:rPr>
                <w:rFonts w:ascii="Verdana" w:hAnsi="Verdana"/>
                <w:b/>
                <w:sz w:val="16"/>
                <w:szCs w:val="16"/>
              </w:rPr>
              <w:t>pm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)</w:t>
            </w:r>
            <w:proofErr w:type="gramEnd"/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on or before </w:t>
            </w:r>
            <w:r w:rsidR="00027E7C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1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027E7C">
              <w:rPr>
                <w:b/>
              </w:rPr>
              <w:t>30</w:t>
            </w:r>
            <w:r w:rsidR="00B753FE" w:rsidRPr="00B753FE">
              <w:rPr>
                <w:b/>
                <w:vertAlign w:val="superscript"/>
              </w:rPr>
              <w:t>th</w:t>
            </w:r>
            <w:r w:rsidR="00B753FE">
              <w:rPr>
                <w:b/>
              </w:rPr>
              <w:t xml:space="preserve"> </w:t>
            </w:r>
            <w:r w:rsidR="00240555">
              <w:rPr>
                <w:b/>
              </w:rPr>
              <w:t>June</w:t>
            </w:r>
            <w:r w:rsidR="00B753FE" w:rsidRPr="00F67B80">
              <w:rPr>
                <w:b/>
              </w:rPr>
              <w:t xml:space="preserve"> 2023</w:t>
            </w:r>
            <w:r w:rsidR="00B753F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5128E">
              <w:rPr>
                <w:rFonts w:ascii="Verdana" w:hAnsi="Verdana"/>
                <w:b/>
                <w:sz w:val="16"/>
                <w:szCs w:val="16"/>
              </w:rPr>
              <w:t>at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EB2DA7" w:rsidRPr="00EA2577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Limited,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Head Office,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4</w:t>
            </w:r>
            <w:r w:rsidR="00A0020D" w:rsidRPr="00A0020D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eastAsia="ar-SA"/>
              </w:rPr>
              <w:t>th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Floor,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IT Dept., 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#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3, Middleton Street</w:t>
            </w:r>
            <w:r w:rsidR="00FA4330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, </w:t>
            </w:r>
            <w:proofErr w:type="gramStart"/>
            <w:r w:rsidR="00FA4330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Kolkata</w:t>
            </w:r>
            <w:proofErr w:type="gramEnd"/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– 700071</w:t>
            </w:r>
            <w:r w:rsidR="00EB2DA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</w:t>
            </w:r>
            <w:r w:rsidR="0024055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4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.00 PM onwards on </w:t>
            </w:r>
            <w:r w:rsidR="00027E7C">
              <w:rPr>
                <w:b/>
              </w:rPr>
              <w:t>30</w:t>
            </w:r>
            <w:bookmarkStart w:id="0" w:name="_GoBack"/>
            <w:bookmarkEnd w:id="0"/>
            <w:r w:rsidR="00B753FE" w:rsidRPr="00B753FE">
              <w:rPr>
                <w:b/>
                <w:vertAlign w:val="superscript"/>
              </w:rPr>
              <w:t>th</w:t>
            </w:r>
            <w:r w:rsidR="00B753FE">
              <w:rPr>
                <w:b/>
              </w:rPr>
              <w:t xml:space="preserve"> </w:t>
            </w:r>
            <w:r w:rsidR="00240555">
              <w:rPr>
                <w:b/>
              </w:rPr>
              <w:t>June</w:t>
            </w:r>
            <w:r w:rsidR="00B753FE" w:rsidRPr="00F67B80">
              <w:rPr>
                <w:b/>
              </w:rPr>
              <w:t xml:space="preserve"> 2023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:rsidR="00D476BF" w:rsidRDefault="00D476BF"/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B"/>
    <w:rsid w:val="00007EE5"/>
    <w:rsid w:val="00027E7C"/>
    <w:rsid w:val="00031574"/>
    <w:rsid w:val="00056E97"/>
    <w:rsid w:val="00057EE4"/>
    <w:rsid w:val="00095FC2"/>
    <w:rsid w:val="000E0948"/>
    <w:rsid w:val="00192B98"/>
    <w:rsid w:val="001E20B7"/>
    <w:rsid w:val="00232B0B"/>
    <w:rsid w:val="00240555"/>
    <w:rsid w:val="002C18A2"/>
    <w:rsid w:val="00336876"/>
    <w:rsid w:val="003449D5"/>
    <w:rsid w:val="00370856"/>
    <w:rsid w:val="003A6781"/>
    <w:rsid w:val="004463E8"/>
    <w:rsid w:val="004840B2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C7BF2"/>
    <w:rsid w:val="006F5EBA"/>
    <w:rsid w:val="007D417F"/>
    <w:rsid w:val="00831AD5"/>
    <w:rsid w:val="00846FC5"/>
    <w:rsid w:val="00891431"/>
    <w:rsid w:val="008D0DC0"/>
    <w:rsid w:val="00915640"/>
    <w:rsid w:val="009A48E7"/>
    <w:rsid w:val="00A0020D"/>
    <w:rsid w:val="00A476C6"/>
    <w:rsid w:val="00A8218E"/>
    <w:rsid w:val="00A8732A"/>
    <w:rsid w:val="00AA7288"/>
    <w:rsid w:val="00B06F36"/>
    <w:rsid w:val="00B46A3C"/>
    <w:rsid w:val="00B753FE"/>
    <w:rsid w:val="00B8146C"/>
    <w:rsid w:val="00BA5D4A"/>
    <w:rsid w:val="00BC6E48"/>
    <w:rsid w:val="00BD585C"/>
    <w:rsid w:val="00C45B5A"/>
    <w:rsid w:val="00C86DFC"/>
    <w:rsid w:val="00C9184F"/>
    <w:rsid w:val="00CC113B"/>
    <w:rsid w:val="00CE5EA6"/>
    <w:rsid w:val="00D325F8"/>
    <w:rsid w:val="00D476BF"/>
    <w:rsid w:val="00D84ED9"/>
    <w:rsid w:val="00D94535"/>
    <w:rsid w:val="00DC6D59"/>
    <w:rsid w:val="00DD22F8"/>
    <w:rsid w:val="00DE5A53"/>
    <w:rsid w:val="00E07CAB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67B80"/>
    <w:rsid w:val="00F7705F"/>
    <w:rsid w:val="00F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cl.ewizard.in" TargetMode="External"/><Relationship Id="rId5" Type="http://schemas.openxmlformats.org/officeDocument/2006/relationships/hyperlink" Target="https://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RANADHIR DEY</cp:lastModifiedBy>
  <cp:revision>2</cp:revision>
  <cp:lastPrinted>2020-11-20T05:17:00Z</cp:lastPrinted>
  <dcterms:created xsi:type="dcterms:W3CDTF">2023-05-29T12:31:00Z</dcterms:created>
  <dcterms:modified xsi:type="dcterms:W3CDTF">2023-05-29T12:31:00Z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